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>
      <w:pPr>
        <w:bidi/>
        <w:spacing w:after="0"/>
        <w:rPr>
          <w:rFonts w:ascii="IranNastaliq" w:hAnsi="IranNastaliq" w:cs="B Nazanin"/>
          <w:color w:val="10243F" w:themeColor="text2" w:themeShade="80"/>
          <w:sz w:val="20"/>
          <w:szCs w:val="20"/>
          <w:rtl/>
        </w:rPr>
      </w:pPr>
    </w:p>
    <w:p>
      <w:pPr>
        <w:bidi/>
        <w:spacing w:after="0"/>
        <w:jc w:val="center"/>
        <w:rPr>
          <w:rFonts w:ascii="IranNastaliq" w:hAnsi="IranNastaliq" w:cs="B Nazanin"/>
          <w:color w:val="10243F" w:themeColor="text2" w:themeShade="80"/>
          <w:rtl/>
        </w:rPr>
      </w:pPr>
      <w:r>
        <w:rPr>
          <w:rFonts w:ascii="IranNastaliq" w:hAnsi="IranNastaliq" w:cs="B Nazanin"/>
          <w:color w:val="10243F" w:themeColor="text2" w:themeShade="80"/>
          <w:rtl/>
        </w:rPr>
        <w:t>معاونت آموزشي</w:t>
      </w:r>
    </w:p>
    <w:p>
      <w:pPr>
        <w:bidi/>
        <w:spacing w:after="0"/>
        <w:jc w:val="center"/>
        <w:rPr>
          <w:rFonts w:ascii="IranNastaliq" w:hAnsi="IranNastaliq" w:cs="B Nazanin"/>
          <w:color w:val="10243F" w:themeColor="text2" w:themeShade="80"/>
        </w:rPr>
      </w:pPr>
      <w:r>
        <w:rPr>
          <w:rFonts w:ascii="IranNastaliq" w:hAnsi="IranNastaliq" w:cs="B Nazanin"/>
          <w:color w:val="10243F" w:themeColor="text2" w:themeShade="80"/>
          <w:rtl/>
        </w:rPr>
        <w:t>مركز مطالعات و توسعه آموزش علوم پزشک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</w:p>
    <w:p>
      <w:pPr>
        <w:bidi/>
        <w:spacing w:after="0"/>
        <w:jc w:val="center"/>
        <w:rPr>
          <w:rFonts w:cs="B Nazanin" w:asciiTheme="majorBidi" w:hAnsiTheme="majorBidi"/>
          <w:b/>
          <w:bCs/>
          <w:sz w:val="36"/>
          <w:szCs w:val="36"/>
          <w:rtl/>
          <w:lang w:bidi="fa-IR"/>
        </w:rPr>
      </w:pPr>
      <w:r>
        <w:rPr>
          <w:rFonts w:hint="eastAsia" w:ascii="IranNastaliq" w:hAnsi="IranNastaliq" w:cs="B Nazanin"/>
          <w:color w:val="10243F" w:themeColor="text2" w:themeShade="80"/>
          <w:rtl/>
        </w:rPr>
        <w:t>واحد</w:t>
      </w:r>
      <w:r>
        <w:rPr>
          <w:rFonts w:ascii="IranNastaliq" w:hAnsi="IranNastaliq" w:cs="B Nazanin"/>
          <w:color w:val="10243F" w:themeColor="text2" w:themeShade="80"/>
          <w:rtl/>
        </w:rPr>
        <w:t xml:space="preserve"> </w:t>
      </w:r>
      <w:r>
        <w:rPr>
          <w:rFonts w:hint="eastAsia" w:ascii="IranNastaliq" w:hAnsi="IranNastaliq" w:cs="B Nazanin"/>
          <w:color w:val="10243F" w:themeColor="text2" w:themeShade="80"/>
          <w:rtl/>
        </w:rPr>
        <w:t>برنامه</w:t>
      </w:r>
      <w:r>
        <w:rPr>
          <w:rFonts w:ascii="IranNastaliq" w:hAnsi="IranNastaliq" w:cs="B Nazanin"/>
          <w:color w:val="10243F" w:themeColor="text2" w:themeShade="80"/>
          <w:rtl/>
        </w:rPr>
        <w:softHyphen/>
      </w:r>
      <w:r>
        <w:rPr>
          <w:rFonts w:hint="eastAsia" w:ascii="IranNastaliq" w:hAnsi="IranNastaliq" w:cs="B Nazanin"/>
          <w:color w:val="10243F" w:themeColor="text2" w:themeShade="80"/>
          <w:rtl/>
        </w:rPr>
        <w:t>ر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  <w:r>
        <w:rPr>
          <w:rFonts w:hint="eastAsia" w:ascii="IranNastaliq" w:hAnsi="IranNastaliq" w:cs="B Nazanin"/>
          <w:color w:val="10243F" w:themeColor="text2" w:themeShade="80"/>
          <w:rtl/>
        </w:rPr>
        <w:t>ز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  <w:r>
        <w:rPr>
          <w:rFonts w:ascii="IranNastaliq" w:hAnsi="IranNastaliq" w:cs="B Nazanin"/>
          <w:color w:val="10243F" w:themeColor="text2" w:themeShade="80"/>
          <w:rtl/>
          <w:lang w:bidi="fa-IR"/>
        </w:rPr>
        <w:t xml:space="preserve"> آموزش</w:t>
      </w:r>
      <w:r>
        <w:rPr>
          <w:rFonts w:hint="cs" w:ascii="IranNastaliq" w:hAnsi="IranNastaliq" w:cs="B Nazanin"/>
          <w:color w:val="10243F" w:themeColor="text2" w:themeShade="80"/>
          <w:rtl/>
          <w:lang w:bidi="fa-IR"/>
        </w:rPr>
        <w:t>ی</w:t>
      </w:r>
    </w:p>
    <w:p>
      <w:pPr>
        <w:bidi/>
        <w:spacing w:after="0" w:line="240" w:lineRule="auto"/>
        <w:jc w:val="center"/>
        <w:rPr>
          <w:rFonts w:cs="B Titr" w:asciiTheme="majorBidi" w:hAnsiTheme="majorBidi"/>
          <w:sz w:val="32"/>
          <w:szCs w:val="32"/>
          <w:rtl/>
          <w:lang w:bidi="fa-IR"/>
        </w:rPr>
      </w:pPr>
      <w:r>
        <w:rPr>
          <w:rFonts w:hint="eastAsia" w:cs="B Titr" w:asciiTheme="majorBidi" w:hAnsiTheme="majorBidi"/>
          <w:sz w:val="32"/>
          <w:szCs w:val="32"/>
          <w:rtl/>
          <w:lang w:bidi="fa-IR"/>
        </w:rPr>
        <w:t>چارچوب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</w:t>
      </w:r>
      <w:r>
        <w:rPr>
          <w:rFonts w:hint="cs" w:cs="B Titr" w:asciiTheme="majorBidi" w:hAnsiTheme="majorBidi"/>
          <w:sz w:val="32"/>
          <w:szCs w:val="32"/>
          <w:rtl/>
          <w:lang w:bidi="fa-IR"/>
        </w:rPr>
        <w:t xml:space="preserve"> طراحی</w:t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«طرح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دوره</w:t>
      </w:r>
      <w:r>
        <w:rPr>
          <w:rFonts w:cs="B Titr" w:asciiTheme="majorBidi" w:hAnsiTheme="majorBidi"/>
          <w:sz w:val="32"/>
          <w:szCs w:val="32"/>
          <w:rtl/>
          <w:lang w:bidi="fa-IR"/>
        </w:rPr>
        <w:softHyphen/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»</w:t>
      </w:r>
    </w:p>
    <w:p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گروه آموزشی ارایه دهنده درس: گروه پرستاری داخلی جراحی و پرستاری اورژانس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عنوان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درس: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جامعه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شناسی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روانشناسی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فوریت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ها،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حوادث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بلایا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میزان واحد: 1 واحد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tabs>
          <w:tab w:val="left" w:pos="1421"/>
        </w:tabs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کد درس: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270030 / 270031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color w:val="FFFF00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نوع و تعداد واحد</w:t>
      </w:r>
      <w:r>
        <w:rPr>
          <w:rStyle w:val="9"/>
          <w:rFonts w:cs="B Nazanin" w:asciiTheme="majorBidi" w:hAnsiTheme="majorBidi"/>
          <w:sz w:val="24"/>
          <w:szCs w:val="24"/>
          <w:rtl/>
          <w:lang w:bidi="fa-IR"/>
        </w:rPr>
        <w:footnoteReference w:id="0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: 5/0 واحد نظری، 5/0 واحد عملی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نام مسؤول درس: دکتر مرجان دلخوش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مدرس/ مدرسان: دکتر مرجان دلخوش    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پیش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نیاز/ هم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زمان: -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و مقطع تحصیلی: کارشناسی ارشد پرستاری اورژانس</w:t>
      </w:r>
      <w:bookmarkStart w:id="0" w:name="_GoBack"/>
      <w:bookmarkEnd w:id="0"/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اطلاعات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مسؤول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رتبه علمی: استادیار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تخصصی: پرستاری/ سلامت در حوادث و فوریت ها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محل کار: دانشکده پرستاری و مامایی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تلفن تماس: 09124972282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نشانی پست الکترونیک: </w:t>
      </w:r>
      <w:r>
        <w:rPr>
          <w:rFonts w:cs="B Nazanin" w:asciiTheme="majorBidi" w:hAnsiTheme="majorBidi"/>
          <w:sz w:val="24"/>
          <w:szCs w:val="24"/>
          <w:lang w:bidi="fa-IR"/>
        </w:rPr>
        <w:t>delkhoshmarjan@gmail.com</w:t>
      </w:r>
    </w:p>
    <w:p>
      <w:pPr>
        <w:bidi/>
        <w:spacing w:after="0" w:line="360" w:lineRule="auto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رود مسؤول درس ضمن ارائه توض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حات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های مختلف محتوایی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بند،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کند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>
      <w:pPr>
        <w:bidi/>
        <w:spacing w:after="0" w:line="360" w:lineRule="auto"/>
        <w:jc w:val="both"/>
        <w:rPr>
          <w:rFonts w:cs="B Mitra" w:eastAsiaTheme="minorEastAsia"/>
          <w:sz w:val="24"/>
          <w:szCs w:val="24"/>
        </w:rPr>
      </w:pP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دیدگاه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جامعه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شناختی،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فاجعه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پدیده ای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اجتماعی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است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موجب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هم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ریختگی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کارکرد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ساختار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یک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نظام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اجتماعی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نهادهای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درون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آن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برای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یک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دوره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کوتاه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مدت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شود،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ولی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باعث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بین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رفتن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این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 xml:space="preserve"> نظام ها و نهادها نمی شود. از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دیدگاه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روانشناختی،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فاجعه ها را می توان فشار روانی فراگیر و شدید تعریف کرد. از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این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نقطه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نظر،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فاجعه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ها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دلیل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فشارزایی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خاصی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جامعه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افراد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دارند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با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اهمیت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هستند. در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این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واحد،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دانشجو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با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 xml:space="preserve">آثارروحی-روانی 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برجای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مانده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حوادث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آشنا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می</w:t>
      </w:r>
      <w:r>
        <w:rPr>
          <w:rFonts w:cs="B Mitra" w:eastAsiaTheme="minorEastAsia"/>
          <w:sz w:val="24"/>
          <w:szCs w:val="24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شود</w:t>
      </w:r>
      <w:r>
        <w:rPr>
          <w:rFonts w:cs="B Mitra" w:eastAsiaTheme="minorEastAsia"/>
          <w:sz w:val="24"/>
          <w:szCs w:val="24"/>
        </w:rPr>
        <w:t>.</w:t>
      </w:r>
    </w:p>
    <w:p>
      <w:pPr>
        <w:tabs>
          <w:tab w:val="left" w:pos="810"/>
        </w:tabs>
        <w:bidi/>
        <w:spacing w:before="240" w:after="0" w:line="36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هد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مندی:</w:t>
      </w:r>
    </w:p>
    <w:p>
      <w:pPr>
        <w:bidi/>
        <w:spacing w:after="0" w:line="360" w:lineRule="auto"/>
        <w:jc w:val="both"/>
        <w:rPr>
          <w:rFonts w:cs="B Mitra" w:eastAsiaTheme="minorEastAsia"/>
          <w:sz w:val="24"/>
          <w:szCs w:val="24"/>
          <w:rtl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زمان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بحران،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کنار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مشکلات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مانده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ناشی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حوادث،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اختلالات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زیادی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جامعه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همچنین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مشکلات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شدیدی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افراد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جامعه بر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ماند</w:t>
      </w:r>
      <w:r>
        <w:rPr>
          <w:rFonts w:hint="cs" w:cs="B Mitra" w:eastAsiaTheme="minorEastAsia"/>
          <w:sz w:val="24"/>
          <w:szCs w:val="24"/>
          <w:rtl/>
          <w:lang w:bidi="fa-IR"/>
        </w:rPr>
        <w:t>. هد</w:t>
      </w:r>
      <w:r>
        <w:rPr>
          <w:rFonts w:hint="cs" w:cs="B Mitra" w:eastAsiaTheme="minorEastAsia"/>
          <w:sz w:val="24"/>
          <w:szCs w:val="24"/>
          <w:rtl/>
        </w:rPr>
        <w:t>ف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این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درس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آشنایی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دانشجویان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انواع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مشکلات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بوجودآمده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منتج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از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بحران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جامعه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همچنین آشنایی با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 xml:space="preserve">آثارمخرب 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برجای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مانده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ناشی از آن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سلامت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افراد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چگونگی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پیشگیری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ارتقای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سلامت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افراد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  <w:lang w:bidi="fa-IR"/>
        </w:rPr>
        <w:t xml:space="preserve">بلازده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بهبود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موارد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تشخیص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داده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شده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می باشد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tabs>
          <w:tab w:val="left" w:pos="810"/>
        </w:tabs>
        <w:bidi/>
        <w:spacing w:before="240" w:after="0" w:line="36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اهداف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اختصاص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مندی:</w:t>
      </w:r>
    </w:p>
    <w:p>
      <w:pPr>
        <w:bidi/>
        <w:spacing w:after="0" w:line="360" w:lineRule="auto"/>
        <w:rPr>
          <w:rFonts w:cs="B Mitra" w:eastAsiaTheme="minorEastAsia"/>
          <w:b/>
          <w:bCs/>
          <w:sz w:val="24"/>
          <w:szCs w:val="24"/>
          <w:rtl/>
          <w:lang w:bidi="fa-IR"/>
        </w:rPr>
      </w:pPr>
      <w:r>
        <w:rPr>
          <w:rFonts w:hint="cs" w:cs="B Mitra" w:eastAsiaTheme="minorEastAsia"/>
          <w:b/>
          <w:bCs/>
          <w:sz w:val="24"/>
          <w:szCs w:val="24"/>
          <w:rtl/>
          <w:lang w:bidi="fa-IR"/>
        </w:rPr>
        <w:t>انتظار میرود پس از این دوره فراگیران بتوانند:</w:t>
      </w:r>
    </w:p>
    <w:p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IranNastaliq" w:hAnsi="IranNastaliq" w:cs="B Mitra" w:eastAsiaTheme="minorEastAsia"/>
          <w:sz w:val="24"/>
          <w:szCs w:val="24"/>
        </w:rPr>
      </w:pPr>
      <w:r>
        <w:rPr>
          <w:rFonts w:hint="cs" w:ascii="B Mitra" w:cs="B Mitra" w:eastAsiaTheme="minorEastAsia"/>
          <w:sz w:val="24"/>
          <w:szCs w:val="24"/>
          <w:rtl/>
        </w:rPr>
        <w:t>اهمیت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سلامت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روان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در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بلایا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بیان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کنند</w:t>
      </w:r>
      <w:r>
        <w:rPr>
          <w:rFonts w:ascii="B Mitra" w:cs="B Mitra" w:eastAsiaTheme="minorEastAsia"/>
          <w:sz w:val="24"/>
          <w:szCs w:val="24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rtl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نقش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خصوصیات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فرهنگی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اجتماعی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برنامه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ریزی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های</w:t>
      </w:r>
      <w:r>
        <w:rPr>
          <w:rFonts w:hint="cs" w:cs="B Mitra" w:eastAsiaTheme="minorEastAsia"/>
          <w:sz w:val="24"/>
          <w:szCs w:val="24"/>
          <w:rtl/>
          <w:lang w:bidi="fa-IR"/>
        </w:rPr>
        <w:t xml:space="preserve"> کاهش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خطر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دهند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IranNastaliq" w:hAnsi="IranNastaliq" w:cs="B Mitra" w:eastAsiaTheme="minorEastAsia"/>
          <w:sz w:val="24"/>
          <w:szCs w:val="24"/>
        </w:rPr>
      </w:pPr>
      <w:r>
        <w:rPr>
          <w:rFonts w:hint="cs" w:ascii="B Mitra" w:cs="B Mitra" w:eastAsiaTheme="minorEastAsia"/>
          <w:sz w:val="24"/>
          <w:szCs w:val="24"/>
          <w:rtl/>
        </w:rPr>
        <w:t>اهمیت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و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میزان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شیوع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بیماریهای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روانی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و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اختلالات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روانی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شایع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در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بلایا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شرح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دهند</w:t>
      </w:r>
      <w:r>
        <w:rPr>
          <w:rFonts w:ascii="B Mitra" w:cs="B Mitra" w:eastAsiaTheme="minorEastAsia"/>
          <w:sz w:val="24"/>
          <w:szCs w:val="24"/>
        </w:rPr>
        <w:t>.</w:t>
      </w:r>
    </w:p>
    <w:p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IranNastaliq" w:hAnsi="IranNastaliq" w:cs="B Mitra" w:eastAsiaTheme="minorEastAsia"/>
          <w:sz w:val="24"/>
          <w:szCs w:val="24"/>
        </w:rPr>
      </w:pPr>
      <w:r>
        <w:rPr>
          <w:rFonts w:hint="cs" w:ascii="B Mitra" w:cs="B Mitra" w:eastAsiaTheme="minorEastAsia"/>
          <w:sz w:val="24"/>
          <w:szCs w:val="24"/>
          <w:rtl/>
        </w:rPr>
        <w:t>مراحل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طبیعی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واکنشهای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روانی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به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بلایا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شرح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دهند</w:t>
      </w:r>
      <w:r>
        <w:rPr>
          <w:rFonts w:ascii="B Mitra" w:cs="B Mitra" w:eastAsiaTheme="minorEastAsia"/>
          <w:sz w:val="24"/>
          <w:szCs w:val="24"/>
        </w:rPr>
        <w:t>.</w:t>
      </w:r>
    </w:p>
    <w:p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B Mitra" w:cs="B Mitra" w:eastAsiaTheme="minorEastAsia"/>
          <w:sz w:val="24"/>
          <w:szCs w:val="24"/>
        </w:rPr>
      </w:pPr>
      <w:r>
        <w:rPr>
          <w:rFonts w:hint="cs" w:ascii="B Mitra" w:cs="B Mitra" w:eastAsiaTheme="minorEastAsia"/>
          <w:sz w:val="24"/>
          <w:szCs w:val="24"/>
          <w:rtl/>
        </w:rPr>
        <w:t>واکنشهای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روانی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شایع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در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بازماندگان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از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بلایا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شرح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دهند</w:t>
      </w:r>
      <w:r>
        <w:rPr>
          <w:rFonts w:ascii="B Mitra" w:cs="B Mitra" w:eastAsiaTheme="minorEastAsia"/>
          <w:sz w:val="24"/>
          <w:szCs w:val="24"/>
        </w:rPr>
        <w:t>.</w:t>
      </w:r>
    </w:p>
    <w:p>
      <w:pPr>
        <w:numPr>
          <w:ilvl w:val="0"/>
          <w:numId w:val="1"/>
        </w:numPr>
        <w:autoSpaceDE w:val="0"/>
        <w:autoSpaceDN w:val="0"/>
        <w:bidi/>
        <w:adjustRightInd w:val="0"/>
        <w:spacing w:before="240" w:after="0" w:line="360" w:lineRule="auto"/>
        <w:contextualSpacing/>
        <w:jc w:val="both"/>
        <w:rPr>
          <w:rFonts w:ascii="IranNastaliq" w:hAnsi="IranNastaliq" w:cs="B Mitra" w:eastAsiaTheme="minorEastAsia"/>
          <w:sz w:val="24"/>
          <w:szCs w:val="24"/>
          <w:rtl/>
        </w:rPr>
      </w:pPr>
      <w:r>
        <w:rPr>
          <w:rFonts w:hint="cs" w:ascii="B Mitra" w:cs="B Mitra" w:eastAsiaTheme="minorEastAsia"/>
          <w:sz w:val="24"/>
          <w:szCs w:val="24"/>
          <w:rtl/>
        </w:rPr>
        <w:t>تکنیک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های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مقابله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ای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در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حین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ارائه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خدمات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در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بلایا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را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توضیح</w:t>
      </w:r>
      <w:r>
        <w:rPr>
          <w:rFonts w:ascii="B Mitra" w:cs="B Mitra" w:eastAsiaTheme="minorEastAsia"/>
          <w:sz w:val="24"/>
          <w:szCs w:val="24"/>
        </w:rPr>
        <w:t xml:space="preserve"> </w:t>
      </w:r>
      <w:r>
        <w:rPr>
          <w:rFonts w:hint="cs" w:ascii="B Mitra" w:cs="B Mitra" w:eastAsiaTheme="minorEastAsia"/>
          <w:sz w:val="24"/>
          <w:szCs w:val="24"/>
          <w:rtl/>
        </w:rPr>
        <w:t>دهند.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روشهای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شایع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ارائه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خدمات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روانشناختی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بیان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کنند</w:t>
      </w:r>
      <w:r>
        <w:rPr>
          <w:rFonts w:hint="cs" w:cs="B Mitra" w:eastAsiaTheme="minorEastAsia"/>
          <w:sz w:val="24"/>
          <w:szCs w:val="24"/>
          <w:rtl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اصول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حمایتهای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اجتماعی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دهند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rtl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کمکهای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اولیه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روانی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برای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آسیب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دیدگان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دهند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cs="B Mitra" w:eastAsiaTheme="minorEastAsia"/>
          <w:sz w:val="24"/>
          <w:szCs w:val="24"/>
          <w:lang w:bidi="fa-IR"/>
        </w:rPr>
        <w:t>PTSD</w:t>
      </w:r>
      <w:r>
        <w:rPr>
          <w:rFonts w:hint="cs" w:cs="B Mitra" w:eastAsiaTheme="minorEastAsia"/>
          <w:sz w:val="24"/>
          <w:szCs w:val="24"/>
          <w:rtl/>
          <w:lang w:bidi="fa-IR"/>
        </w:rPr>
        <w:t xml:space="preserve"> 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تعریف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نمایند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معیارهای</w:t>
      </w:r>
      <w:r>
        <w:rPr>
          <w:rFonts w:cs="B Mitra" w:eastAsiaTheme="minorEastAsia"/>
          <w:sz w:val="24"/>
          <w:szCs w:val="24"/>
          <w:lang w:bidi="fa-IR"/>
        </w:rPr>
        <w:t xml:space="preserve"> PTSD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اساس</w:t>
      </w:r>
      <w:r>
        <w:rPr>
          <w:rFonts w:cs="B Mitra" w:eastAsiaTheme="minorEastAsia"/>
          <w:sz w:val="24"/>
          <w:szCs w:val="24"/>
          <w:lang w:bidi="fa-IR"/>
        </w:rPr>
        <w:t xml:space="preserve"> DSMV </w:t>
      </w:r>
      <w:r>
        <w:rPr>
          <w:rFonts w:hint="cs" w:cs="B Mitra" w:eastAsiaTheme="minorEastAsia"/>
          <w:sz w:val="24"/>
          <w:szCs w:val="24"/>
          <w:rtl/>
        </w:rPr>
        <w:t>بیان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کنند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rtl/>
          <w:lang w:bidi="fa-IR"/>
        </w:rPr>
      </w:pPr>
      <w:r>
        <w:rPr>
          <w:rFonts w:cs="B Mitra" w:eastAsiaTheme="minorEastAsia"/>
          <w:sz w:val="24"/>
          <w:szCs w:val="24"/>
          <w:lang w:bidi="fa-IR"/>
        </w:rPr>
        <w:t>PTSD</w:t>
      </w:r>
      <w:r>
        <w:rPr>
          <w:rFonts w:hint="cs" w:cs="B Mitra" w:eastAsiaTheme="minorEastAsia"/>
          <w:sz w:val="24"/>
          <w:szCs w:val="24"/>
          <w:rtl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خدمات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خاص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آن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بلایا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cs="B Mitra" w:eastAsiaTheme="minorEastAsia"/>
          <w:sz w:val="24"/>
          <w:szCs w:val="24"/>
          <w:rtl/>
        </w:rPr>
        <w:t>ده</w:t>
      </w:r>
      <w:r>
        <w:rPr>
          <w:rFonts w:hint="cs" w:cs="B Mitra" w:eastAsiaTheme="minorEastAsia"/>
          <w:sz w:val="24"/>
          <w:szCs w:val="24"/>
          <w:rtl/>
        </w:rPr>
        <w:t>ن</w:t>
      </w:r>
      <w:r>
        <w:rPr>
          <w:rFonts w:cs="B Mitra" w:eastAsiaTheme="minorEastAsia"/>
          <w:sz w:val="24"/>
          <w:szCs w:val="24"/>
          <w:rtl/>
        </w:rPr>
        <w:t>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واژه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سوگ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تعریف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کنند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انواع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سوگ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دهند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فرآیند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سوگ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را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بیان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نمایند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p>
      <w:pPr>
        <w:numPr>
          <w:ilvl w:val="0"/>
          <w:numId w:val="1"/>
        </w:numPr>
        <w:bidi/>
        <w:spacing w:after="0" w:line="360" w:lineRule="auto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مدیریت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سوگ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در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 xml:space="preserve">بلایا را 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شرح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دهند</w:t>
      </w:r>
      <w:r>
        <w:rPr>
          <w:rFonts w:cs="B Mitra" w:eastAsiaTheme="minorEastAsia"/>
          <w:sz w:val="24"/>
          <w:szCs w:val="24"/>
          <w:lang w:bidi="fa-IR"/>
        </w:rPr>
        <w:t>.</w:t>
      </w:r>
    </w:p>
    <w:tbl>
      <w:tblPr>
        <w:tblStyle w:val="12"/>
        <w:bidiVisual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2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20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Arial" w:hAnsi="Arial" w:eastAsia="Calibri" w:cs="B Nazanin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رویکرد آموزشی</w:t>
            </w:r>
            <w:r>
              <w:rPr>
                <w:rStyle w:val="9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hint="cs"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Arial" w:hAnsi="Arial" w:eastAsia="Calibri" w:cs="B Nazanin"/>
              </w:rPr>
              <w:t></w:t>
            </w:r>
            <w:r>
              <w:rPr>
                <w:rFonts w:hint="cs" w:ascii="Arial" w:hAnsi="Arial" w:eastAsia="Calibri" w:cs="B Nazanin"/>
                <w:rtl/>
              </w:rPr>
              <w:t xml:space="preserve">    </w:t>
            </w:r>
            <w:r>
              <w:rPr>
                <w:rFonts w:hint="cs" w:ascii="Arial" w:hAnsi="Arial" w:eastAsia="Calibri" w:cs="B Nazanin"/>
                <w:rtl/>
                <w:lang w:bidi="fa-IR"/>
              </w:rPr>
              <w:t>مجازی</w:t>
            </w:r>
            <w:r>
              <w:rPr>
                <w:rStyle w:val="9"/>
                <w:rFonts w:ascii="Arial" w:hAnsi="Arial" w:eastAsia="Calibri" w:cs="B Nazanin"/>
                <w:rtl/>
                <w:lang w:bidi="fa-IR"/>
              </w:rPr>
              <w:footnoteReference w:id="2"/>
            </w:r>
            <w:r>
              <w:rPr>
                <w:rFonts w:hint="cs" w:ascii="Arial" w:hAnsi="Arial" w:eastAsia="Calibri" w:cs="B Nazanin"/>
                <w:rtl/>
                <w:lang w:bidi="fa-IR"/>
              </w:rPr>
              <w:t xml:space="preserve">  </w:t>
            </w:r>
          </w:p>
        </w:tc>
        <w:tc>
          <w:tcPr>
            <w:tcW w:w="3120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eastAsia="Calibri" w:cs="B Nazanin"/>
                <w:highlight w:val="yellow"/>
              </w:rPr>
              <w:t></w:t>
            </w:r>
            <w:r>
              <w:rPr>
                <w:rFonts w:hint="cs" w:ascii="Arial" w:hAnsi="Arial" w:eastAsia="Calibri" w:cs="B Nazanin"/>
                <w:rtl/>
              </w:rPr>
              <w:t xml:space="preserve"> حضوری</w:t>
            </w:r>
          </w:p>
        </w:tc>
        <w:tc>
          <w:tcPr>
            <w:tcW w:w="3120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eastAsia="Calibri" w:cs="B Nazanin"/>
              </w:rPr>
              <w:t></w:t>
            </w:r>
            <w:r>
              <w:rPr>
                <w:rFonts w:hint="cs" w:ascii="Arial" w:hAnsi="Arial" w:eastAsia="Calibri" w:cs="B Nazanin"/>
                <w:rtl/>
              </w:rPr>
              <w:t xml:space="preserve"> ترکیبی</w:t>
            </w:r>
            <w:r>
              <w:rPr>
                <w:rStyle w:val="9"/>
                <w:rFonts w:ascii="Arial" w:hAnsi="Arial" w:eastAsia="Calibri" w:cs="B Nazanin"/>
                <w:rtl/>
              </w:rPr>
              <w:footnoteReference w:id="3"/>
            </w:r>
          </w:p>
        </w:tc>
      </w:tr>
    </w:tbl>
    <w:p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های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مجازی</w:t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کلاس وارونه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بازی دیجیتال</w:t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محتوای الکترونیکی تعاملی</w:t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حل مسئله (</w:t>
      </w:r>
      <w:r>
        <w:rPr>
          <w:rFonts w:eastAsia="Calibri" w:cs="B Nazanin" w:asciiTheme="majorBidi" w:hAnsiTheme="majorBidi"/>
          <w:sz w:val="20"/>
          <w:szCs w:val="20"/>
        </w:rPr>
        <w:t>PBL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اکتشافی هدایت شده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سناریوی متنی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Calibri" w:hAnsi="Calibri" w:eastAsia="Calibri" w:cs="B Mitra"/>
          <w:sz w:val="28"/>
          <w:szCs w:val="28"/>
          <w:rtl/>
          <w:lang w:bidi="fa-IR"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مباحثه در فروم</w:t>
      </w:r>
      <w:r>
        <w:rPr>
          <w:rFonts w:hint="cs" w:ascii="Calibri" w:hAnsi="Calibri" w:eastAsia="Calibri" w:cs="B Mitra"/>
          <w:sz w:val="28"/>
          <w:szCs w:val="28"/>
          <w:rtl/>
          <w:lang w:bidi="fa-IR"/>
        </w:rPr>
        <w:t xml:space="preserve"> </w:t>
      </w:r>
      <w:r>
        <w:rPr>
          <w:rFonts w:ascii="Calibri" w:hAnsi="Calibri" w:eastAsia="Calibri" w:cs="B Mitra"/>
          <w:sz w:val="28"/>
          <w:szCs w:val="28"/>
          <w:rtl/>
          <w:lang w:bidi="fa-IR"/>
        </w:rPr>
        <w:tab/>
      </w:r>
    </w:p>
    <w:p>
      <w:pPr>
        <w:tabs>
          <w:tab w:val="left" w:pos="810"/>
        </w:tabs>
        <w:bidi/>
        <w:spacing w:before="240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سایر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موارد</w:t>
      </w:r>
      <w:r>
        <w:rPr>
          <w:rFonts w:ascii="Arial" w:hAnsi="Arial" w:eastAsia="Calibri" w:cs="B Nazanin"/>
          <w:rtl/>
        </w:rPr>
        <w:t xml:space="preserve"> (</w:t>
      </w:r>
      <w:r>
        <w:rPr>
          <w:rFonts w:hint="cs" w:ascii="Arial" w:hAnsi="Arial" w:eastAsia="Calibri" w:cs="B Nazanin"/>
          <w:rtl/>
        </w:rPr>
        <w:t>لطفاً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نام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ببرید</w:t>
      </w:r>
      <w:r>
        <w:rPr>
          <w:rFonts w:ascii="Arial" w:hAnsi="Arial" w:eastAsia="Calibri" w:cs="B Nazanin"/>
          <w:rtl/>
        </w:rPr>
        <w:t>) -------</w:t>
      </w:r>
    </w:p>
    <w:p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حضوری</w:t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  <w:highlight w:val="yellow"/>
        </w:rPr>
        <w:t></w:t>
      </w:r>
      <w:r>
        <w:rPr>
          <w:rFonts w:hint="cs" w:ascii="Arial" w:hAnsi="Arial" w:eastAsia="Calibri" w:cs="B Nazanin"/>
          <w:rtl/>
        </w:rPr>
        <w:t xml:space="preserve"> سخنرانی تعاملی (پرسش و پاسخ، کوئیز، بحث گروهی و ...)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بحث در گروههای کوچک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  <w:highlight w:val="yellow"/>
        </w:rPr>
        <w:t></w:t>
      </w:r>
      <w:r>
        <w:rPr>
          <w:rFonts w:hint="cs" w:ascii="Arial" w:hAnsi="Arial" w:eastAsia="Calibri" w:cs="B Nazanin"/>
          <w:rtl/>
        </w:rPr>
        <w:t xml:space="preserve"> ایفای نقش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اکتشافی هدایت شده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تیم (</w:t>
      </w:r>
      <w:r>
        <w:rPr>
          <w:rFonts w:eastAsia="Calibri" w:cs="B Nazanin" w:asciiTheme="majorBidi" w:hAnsiTheme="majorBidi"/>
          <w:sz w:val="20"/>
          <w:szCs w:val="20"/>
        </w:rPr>
        <w:t>TBL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حل مسئله (</w:t>
      </w:r>
      <w:r>
        <w:rPr>
          <w:rFonts w:eastAsia="Calibri" w:cs="B Nazanin" w:asciiTheme="majorBidi" w:hAnsiTheme="majorBidi"/>
          <w:sz w:val="20"/>
          <w:szCs w:val="20"/>
        </w:rPr>
        <w:t>PBL</w:t>
      </w:r>
      <w:r>
        <w:rPr>
          <w:rFonts w:hint="cs" w:ascii="Arial" w:hAnsi="Arial" w:eastAsia="Calibri" w:cs="B Nazanin"/>
          <w:rtl/>
        </w:rPr>
        <w:t xml:space="preserve">)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  <w:highlight w:val="yellow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سناریو </w:t>
      </w:r>
      <w:r>
        <w:rPr>
          <w:rFonts w:ascii="Arial" w:hAnsi="Arial" w:eastAsia="Calibri" w:cs="B Nazanin"/>
          <w:rtl/>
        </w:rPr>
        <w:tab/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استفاده از دانشجویان در تدریس (تدریس توسط همتایان) </w:t>
      </w:r>
      <w:r>
        <w:rPr>
          <w:rFonts w:ascii="Arial" w:hAnsi="Arial" w:eastAsia="Calibri" w:cs="B Nazanin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ascii="Arial" w:hAnsi="Arial" w:eastAsia="Calibri" w:cs="B Nazanin"/>
        </w:rPr>
        <w:t></w:t>
      </w:r>
      <w:r>
        <w:rPr>
          <w:rFonts w:hint="cs" w:ascii="Arial" w:hAnsi="Arial" w:eastAsia="Calibri" w:cs="B Nazanin"/>
          <w:rtl/>
        </w:rPr>
        <w:t xml:space="preserve"> یادگیری مبتنی بر بازی </w:t>
      </w:r>
    </w:p>
    <w:p>
      <w:pPr>
        <w:tabs>
          <w:tab w:val="left" w:pos="810"/>
        </w:tabs>
        <w:bidi/>
        <w:spacing w:before="240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سایر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موارد</w:t>
      </w:r>
      <w:r>
        <w:rPr>
          <w:rFonts w:ascii="Arial" w:hAnsi="Arial" w:eastAsia="Calibri" w:cs="B Nazanin"/>
          <w:rtl/>
        </w:rPr>
        <w:t xml:space="preserve"> (</w:t>
      </w:r>
      <w:r>
        <w:rPr>
          <w:rFonts w:hint="cs" w:ascii="Arial" w:hAnsi="Arial" w:eastAsia="Calibri" w:cs="B Nazanin"/>
          <w:rtl/>
        </w:rPr>
        <w:t>لطفاً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نام</w:t>
      </w:r>
      <w:r>
        <w:rPr>
          <w:rFonts w:ascii="Arial" w:hAnsi="Arial" w:eastAsia="Calibri" w:cs="B Nazanin"/>
          <w:rtl/>
        </w:rPr>
        <w:t xml:space="preserve"> </w:t>
      </w:r>
      <w:r>
        <w:rPr>
          <w:rFonts w:hint="cs" w:ascii="Arial" w:hAnsi="Arial" w:eastAsia="Calibri" w:cs="B Nazanin"/>
          <w:rtl/>
        </w:rPr>
        <w:t>ببرید</w:t>
      </w:r>
      <w:r>
        <w:rPr>
          <w:rFonts w:ascii="Arial" w:hAnsi="Arial" w:eastAsia="Calibri" w:cs="B Nazanin"/>
          <w:rtl/>
        </w:rPr>
        <w:t>) -------</w:t>
      </w: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رویکرد ترکیبی</w:t>
      </w:r>
    </w:p>
    <w:p>
      <w:pPr>
        <w:bidi/>
        <w:spacing w:after="0" w:line="240" w:lineRule="auto"/>
        <w:rPr>
          <w:rFonts w:ascii="Arial" w:hAnsi="Arial" w:eastAsia="Calibri" w:cs="B Nazanin"/>
          <w:rtl/>
        </w:rPr>
      </w:pPr>
      <w:r>
        <w:rPr>
          <w:rFonts w:hint="cs" w:ascii="Arial" w:hAnsi="Arial" w:eastAsia="Calibri" w:cs="B Nazanin"/>
          <w:rtl/>
        </w:rPr>
        <w:t>ترکیبی از روش</w:t>
      </w:r>
      <w:r>
        <w:rPr>
          <w:rFonts w:ascii="Arial" w:hAnsi="Arial" w:eastAsia="Calibri" w:cs="B Nazanin"/>
          <w:rtl/>
        </w:rPr>
        <w:softHyphen/>
      </w:r>
      <w:r>
        <w:rPr>
          <w:rFonts w:hint="cs" w:ascii="Arial" w:hAnsi="Arial" w:eastAsia="Calibri" w:cs="B Nazanin"/>
          <w:rtl/>
        </w:rPr>
        <w:t>های زیرمجموعه رویکردهای آموزشی مجازی و حضوری، به کار می</w:t>
      </w:r>
      <w:r>
        <w:rPr>
          <w:rFonts w:ascii="Arial" w:hAnsi="Arial" w:eastAsia="Calibri" w:cs="B Nazanin"/>
          <w:rtl/>
        </w:rPr>
        <w:softHyphen/>
      </w:r>
      <w:r>
        <w:rPr>
          <w:rFonts w:hint="cs" w:ascii="Arial" w:hAnsi="Arial" w:eastAsia="Calibri" w:cs="B Nazanin"/>
          <w:rtl/>
        </w:rPr>
        <w:t>رود.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تقو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 بخش نظری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15"/>
        <w:tblW w:w="10620" w:type="dxa"/>
        <w:tblInd w:w="-522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1710"/>
        <w:gridCol w:w="4410"/>
        <w:gridCol w:w="720"/>
      </w:tblGrid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80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70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17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44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720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مشارکت فعال در کلاس درس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شرکت در مباحث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-بحث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معرفی طرح درس و آشنایی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کلیات درس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جامعه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شناس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روانشناس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فور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ت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ها،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حوادث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آشنایی با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ارتباط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نیاز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جسمی،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اجتماعی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تامین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سلامت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1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70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 xml:space="preserve">- مطالعه و مشارکت فعال در کلاس درس 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شرکت در مباحث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پاسخ به سوالات مطرح شده در جلسه قبلی کلاسی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171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-بحث گروهی</w:t>
            </w:r>
          </w:p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410" w:type="dxa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اهمیت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سلامت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اهمیت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میزان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شیوع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بیماریهای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اختلالات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شایع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</w:tc>
        <w:tc>
          <w:tcPr>
            <w:tcW w:w="720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2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 xml:space="preserve">- مطالعه و مشارکت فعال در کلاس درس 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شرکت در مباحث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پاسخ به سوالات مطرح شده در جلسه قبلی کلاسی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-بحث گروهی</w:t>
            </w:r>
          </w:p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مراحل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طبیعی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واکنشهای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به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واکنشهای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شایع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بازماندگان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از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تغییرات روانی جامعه آسیب دیده در بلایا و فوریت ها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3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70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 xml:space="preserve">- مطالعه و مشارکت فعال در کلاس درس 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شرکت در مباحث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پاسخ به سوالات مطرح شده در جلسه قبلی کلاسی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</w:p>
        </w:tc>
        <w:tc>
          <w:tcPr>
            <w:tcW w:w="171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-بحث گروهی</w:t>
            </w:r>
          </w:p>
          <w:p>
            <w:pPr>
              <w:bidi/>
              <w:spacing w:after="0" w:line="240" w:lineRule="auto"/>
              <w:jc w:val="center"/>
              <w:rPr>
                <w:rFonts w:cs="B Mitra" w:asciiTheme="minorBidi" w:hAnsiTheme="minorBidi"/>
                <w:sz w:val="19"/>
                <w:szCs w:val="19"/>
                <w:rtl/>
              </w:rPr>
            </w:pPr>
          </w:p>
        </w:tc>
        <w:tc>
          <w:tcPr>
            <w:tcW w:w="4410" w:type="dxa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روشهای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شایع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ارائه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خدمات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روانشناختی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اصول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حمایتهای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اجتماعی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کمکهای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اولیه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روانی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برای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آسیب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دیدگان</w:t>
            </w:r>
            <w:r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بلایا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ارائه دانشجویان</w:t>
            </w:r>
          </w:p>
        </w:tc>
        <w:tc>
          <w:tcPr>
            <w:tcW w:w="720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4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 xml:space="preserve">- مطالعه و مشارکت فعال در کلاس درس 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شرکت در مباحث گروهی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19"/>
                <w:szCs w:val="19"/>
                <w:rtl/>
                <w:lang w:bidi="fa-IR"/>
              </w:rPr>
              <w:t>- ارائه دانشجویان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17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-بحث گروهی</w:t>
            </w:r>
          </w:p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PTSD </w:t>
            </w: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و </w:t>
            </w:r>
            <w:r>
              <w:rPr>
                <w:rFonts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خدمات</w:t>
            </w:r>
            <w:r>
              <w:rPr>
                <w:rFonts w:ascii="B Mitra" w:hAnsi="Calibri"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خاص</w:t>
            </w:r>
            <w:r>
              <w:rPr>
                <w:rFonts w:ascii="B Mitra" w:hAnsi="Calibri"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آن</w:t>
            </w:r>
            <w:r>
              <w:rPr>
                <w:rFonts w:ascii="B Mitra" w:hAnsi="Calibri"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ascii="B Mitra" w:hAnsi="Calibri"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زمان وقوع حوادث و بلایا</w:t>
            </w: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فرآیند و مدیریت سوگ در بلایا</w:t>
            </w:r>
          </w:p>
          <w:p>
            <w:pPr>
              <w:bidi/>
              <w:spacing w:after="0" w:line="240" w:lineRule="auto"/>
              <w:rPr>
                <w:rFonts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B Mitra" w:hAnsi="Calibri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ارائه دانشجویان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5</w:t>
            </w:r>
          </w:p>
        </w:tc>
      </w:tr>
    </w:tbl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تقویم درس بخش عملی</w:t>
      </w:r>
    </w:p>
    <w:tbl>
      <w:tblPr>
        <w:tblStyle w:val="15"/>
        <w:tblW w:w="10620" w:type="dxa"/>
        <w:tblInd w:w="-522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530"/>
        <w:gridCol w:w="4230"/>
        <w:gridCol w:w="720"/>
      </w:tblGrid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60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88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153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423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720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FFFF" w:themeColor="background1"/>
                <w:sz w:val="18"/>
                <w:szCs w:val="1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88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مشارکت فعال در فیلد کارآموزی 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-سخنرانی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23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حضور در ستاد دانشگاه علوم پزشکی تهران، دپارتمان سلامت روان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cs="B Mitra"/>
                <w:color w:val="000000" w:themeColor="text1"/>
                <w:sz w:val="19"/>
                <w:szCs w:val="19"/>
                <w:rtl/>
                <w14:textFill>
                  <w14:solidFill>
                    <w14:schemeClr w14:val="tx1"/>
                  </w14:solidFill>
                </w14:textFill>
              </w:rPr>
              <w:t>آشنایی با حوزه کاری همکاران ستادی در فیلد سلامت روان و خدمات سلامت روان در شرایط مواجه با اورژانس ها و فوریت ها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1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88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مشارکت فعال در فیلد کارآموزی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انجام کار عملی</w:t>
            </w:r>
          </w:p>
        </w:tc>
        <w:tc>
          <w:tcPr>
            <w:tcW w:w="153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سخنرانی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کار عملی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23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حضور در فیلد کارآموزی / مرکز جامع خدمات سلامت شهید شاه آبادی/ واحد سلامت روان</w:t>
            </w:r>
          </w:p>
        </w:tc>
        <w:tc>
          <w:tcPr>
            <w:tcW w:w="720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2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88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مشارکت فعال در فیلد کارآموزی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انجام کار عملی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سخنرانی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کار عملی</w:t>
            </w:r>
          </w:p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</w:p>
        </w:tc>
        <w:tc>
          <w:tcPr>
            <w:tcW w:w="423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Mitr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حضور در فیلد کارآموزی / مراکز جامع خدمات سلامت فرمانفرمایان، چهارده معصوم و قمر بنی هاشم/ واحدهای سلامت روان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3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sz w:val="19"/>
                <w:szCs w:val="19"/>
                <w:rtl/>
                <w:lang w:bidi="fa-IR"/>
              </w:rPr>
              <w:t>مرجان دلخوش</w:t>
            </w:r>
          </w:p>
        </w:tc>
        <w:tc>
          <w:tcPr>
            <w:tcW w:w="288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مشارکت فعال در فیلد کارآموزی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انجام کار عملی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ارائه پروژه عملی</w:t>
            </w:r>
          </w:p>
        </w:tc>
        <w:tc>
          <w:tcPr>
            <w:tcW w:w="153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 xml:space="preserve">- سخنرانی 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پرسش و پاسخ</w:t>
            </w:r>
          </w:p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- کار عملی</w:t>
            </w:r>
          </w:p>
          <w:p>
            <w:pPr>
              <w:bidi/>
              <w:spacing w:after="0" w:line="240" w:lineRule="auto"/>
              <w:rPr>
                <w:rFonts w:cs="B Mitra" w:asciiTheme="minorBidi" w:hAnsiTheme="minorBidi"/>
                <w:sz w:val="19"/>
                <w:szCs w:val="19"/>
                <w:rtl/>
              </w:rPr>
            </w:pPr>
          </w:p>
        </w:tc>
        <w:tc>
          <w:tcPr>
            <w:tcW w:w="4230" w:type="dxa"/>
          </w:tcPr>
          <w:p>
            <w:pPr>
              <w:bidi/>
              <w:spacing w:after="0" w:line="240" w:lineRule="auto"/>
              <w:rPr>
                <w:rFonts w:ascii="IranNastaliq" w:hAnsi="IranNastaliq" w:cs="B Nazanin"/>
                <w:sz w:val="19"/>
                <w:szCs w:val="19"/>
                <w:lang w:bidi="fa-IR"/>
              </w:rPr>
            </w:pPr>
            <w:r>
              <w:rPr>
                <w:rFonts w:hint="cs" w:ascii="IranNastaliq" w:hAnsi="IranNastaliq" w:cs="B Nazanin"/>
                <w:sz w:val="19"/>
                <w:szCs w:val="19"/>
                <w:rtl/>
                <w:lang w:bidi="fa-IR"/>
              </w:rPr>
              <w:t>حضور در فیلد کارآموزی / مراکز جامع خدمات سلامت فرمانفرمایان، چهارده معصوم و قمر بنی هاشم/ واحدهای سلامت روان</w:t>
            </w:r>
          </w:p>
        </w:tc>
        <w:tc>
          <w:tcPr>
            <w:tcW w:w="720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</w:pPr>
            <w:r>
              <w:rPr>
                <w:rFonts w:ascii="IranNastaliq" w:hAnsi="IranNastaliq" w:cs="B Nazanin"/>
                <w:sz w:val="19"/>
                <w:szCs w:val="19"/>
                <w:rtl/>
                <w:lang w:bidi="fa-IR"/>
              </w:rPr>
              <w:t>4</w:t>
            </w:r>
          </w:p>
        </w:tc>
      </w:tr>
    </w:tbl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وظا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ف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 و انتظارات از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دانشجو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 (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منظور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وظا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ف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عمومی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دانشجو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در طول دوره است. وظایف و انتظاراتی  نظیر حضور منظم در کلاس درس، انجام تکالیف در موعد مقرر، مطالعه منابع معرفی شده و مشارکت فعال در برنامه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کلاس</w:t>
      </w:r>
      <w:r>
        <w:rPr>
          <w:rFonts w:cs="B Nazanin"/>
          <w:vertAlign w:val="superscript"/>
          <w:rtl/>
        </w:rPr>
        <w:footnoteReference w:id="4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)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  <w:lang w:bidi="fa-IR"/>
        </w:rPr>
        <w:t>حضور در کلاس درس و عدم غیبت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  <w:lang w:bidi="fa-IR"/>
        </w:rPr>
        <w:t>حضور در جلسات عملی/فیلد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  <w:lang w:bidi="fa-IR"/>
        </w:rPr>
        <w:t>مطالعه و مشارکت فعال در مباحث کلاسی و بحث های گروهی مطروحه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  <w:lang w:bidi="fa-IR"/>
        </w:rPr>
        <w:t>پاسخ به سوالات مطروح شده در هر جلسه کلاسی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ارائه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یک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مورد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مقاله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نقد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و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بررسی</w:t>
      </w:r>
      <w:r>
        <w:rPr>
          <w:rFonts w:cs="B Mitra" w:eastAsiaTheme="minorEastAsia"/>
          <w:sz w:val="24"/>
          <w:szCs w:val="24"/>
          <w:lang w:bidi="fa-IR"/>
        </w:rPr>
        <w:t xml:space="preserve"> </w:t>
      </w:r>
      <w:r>
        <w:rPr>
          <w:rFonts w:hint="cs" w:cs="B Mitra" w:eastAsiaTheme="minorEastAsia"/>
          <w:sz w:val="24"/>
          <w:szCs w:val="24"/>
          <w:rtl/>
        </w:rPr>
        <w:t>آن</w:t>
      </w:r>
    </w:p>
    <w:p>
      <w:pPr>
        <w:numPr>
          <w:ilvl w:val="0"/>
          <w:numId w:val="2"/>
        </w:numPr>
        <w:bidi/>
        <w:spacing w:after="0"/>
        <w:contextualSpacing/>
        <w:jc w:val="both"/>
        <w:rPr>
          <w:rFonts w:cs="B Mitra" w:eastAsiaTheme="minorEastAsia"/>
          <w:sz w:val="24"/>
          <w:szCs w:val="24"/>
          <w:lang w:bidi="fa-IR"/>
        </w:rPr>
      </w:pPr>
      <w:r>
        <w:rPr>
          <w:rFonts w:hint="cs" w:cs="B Mitra" w:eastAsiaTheme="minorEastAsia"/>
          <w:sz w:val="24"/>
          <w:szCs w:val="24"/>
          <w:rtl/>
        </w:rPr>
        <w:t>ارائه پروژه و گزارش نهایی کار عملی و حضور در فیلد</w:t>
      </w:r>
    </w:p>
    <w:p>
      <w:pPr>
        <w:tabs>
          <w:tab w:val="left" w:pos="810"/>
        </w:tabs>
        <w:bidi/>
        <w:spacing w:before="240"/>
        <w:rPr>
          <w:rFonts w:cs="B Mitra" w:eastAsiaTheme="minorEastAsia"/>
          <w:sz w:val="24"/>
          <w:szCs w:val="24"/>
          <w:rtl/>
        </w:rPr>
      </w:pPr>
    </w:p>
    <w:p>
      <w:pPr>
        <w:tabs>
          <w:tab w:val="left" w:pos="810"/>
        </w:tabs>
        <w:bidi/>
        <w:spacing w:before="240"/>
        <w:rPr>
          <w:rFonts w:cs="B Mitra" w:eastAsiaTheme="minorEastAsia"/>
          <w:sz w:val="24"/>
          <w:szCs w:val="24"/>
          <w:rtl/>
        </w:rPr>
      </w:pPr>
    </w:p>
    <w:p>
      <w:pPr>
        <w:tabs>
          <w:tab w:val="left" w:pos="810"/>
        </w:tabs>
        <w:bidi/>
        <w:spacing w:before="240"/>
        <w:rPr>
          <w:rFonts w:cs="B Mitra" w:eastAsiaTheme="minorEastAsia"/>
          <w:sz w:val="24"/>
          <w:szCs w:val="24"/>
          <w:rtl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ارز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اب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tbl>
      <w:tblPr>
        <w:tblStyle w:val="24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both"/>
              <w:rPr>
                <w:rFonts w:cs="B Mitra" w:eastAsiaTheme="minorEastAsi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eastAsiaTheme="minorEastAsia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jc w:val="both"/>
              <w:rPr>
                <w:rFonts w:cs="B Mitra" w:eastAsiaTheme="minorEastAs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4133" w:type="pct"/>
          </w:tcPr>
          <w:p>
            <w:pPr>
              <w:tabs>
                <w:tab w:val="right" w:pos="5791"/>
              </w:tabs>
              <w:bidi/>
              <w:spacing w:after="0" w:line="240" w:lineRule="auto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Nazanin" w:eastAsiaTheme="minorEastAsia"/>
                <w:sz w:val="24"/>
                <w:szCs w:val="24"/>
                <w:rtl/>
              </w:rPr>
              <w:t xml:space="preserve">حضور منظم در جلسات کلاسی </w:t>
            </w:r>
            <w:r>
              <w:rPr>
                <w:rFonts w:hint="cs" w:cs="B Nazanin" w:eastAsiaTheme="minorEastAsia"/>
                <w:b w:val="0"/>
                <w:bCs w:val="0"/>
                <w:sz w:val="24"/>
                <w:szCs w:val="24"/>
                <w:rtl/>
              </w:rPr>
              <w:t xml:space="preserve">با </w:t>
            </w:r>
            <w:r>
              <w:rPr>
                <w:rFonts w:hint="cs" w:ascii="Arial" w:hAnsi="Arial" w:eastAsia="Times New Roman" w:cs="B Mitra"/>
                <w:b w:val="0"/>
                <w:bCs w:val="0"/>
                <w:sz w:val="24"/>
                <w:szCs w:val="24"/>
                <w:rtl/>
              </w:rPr>
              <w:t>رعایت آیین نامه ابلاغی پوشش حرفه ای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4133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مشارکت فعال در مباحث کلاسی و بحث های گروهی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4133" w:type="pct"/>
          </w:tcPr>
          <w:p>
            <w:pPr>
              <w:bidi/>
              <w:spacing w:after="0" w:line="240" w:lineRule="auto"/>
              <w:contextualSpacing/>
              <w:jc w:val="both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 xml:space="preserve">پاسخ به سوالات مطرح شده در هر جلسه کلاسی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4133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lang w:bidi="fa-IR"/>
              </w:rPr>
            </w:pP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ارائه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 xml:space="preserve"> جدید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نقد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بررس</w:t>
            </w: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eastAsiaTheme="minorEastAsi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 w:cs="B Mitra" w:eastAsiaTheme="minorEastAsia"/>
                <w:sz w:val="24"/>
                <w:szCs w:val="24"/>
                <w:rtl/>
                <w:lang w:bidi="fa-IR"/>
              </w:rPr>
              <w:t>آن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4133" w:type="pct"/>
          </w:tcPr>
          <w:p>
            <w:pPr>
              <w:spacing w:after="0" w:line="240" w:lineRule="auto"/>
              <w:jc w:val="right"/>
              <w:rPr>
                <w:rFonts w:cs="B Mitra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cs="B Mitra" w:eastAsiaTheme="minorEastAsia"/>
                <w:sz w:val="24"/>
                <w:szCs w:val="24"/>
                <w:rtl/>
                <w:lang w:bidi="fa-IR"/>
              </w:rPr>
              <w:t>ارائه پروژه مرتبط با حضور در فیلد و انجام کار عملی</w:t>
            </w:r>
          </w:p>
        </w:tc>
      </w:tr>
    </w:tbl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before="24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منابع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منابع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شامل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کتاب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درس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تخصص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مقاله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نشان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سا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مرتبط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باشد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.</w:t>
      </w:r>
    </w:p>
    <w:p>
      <w:pPr>
        <w:tabs>
          <w:tab w:val="left" w:pos="810"/>
        </w:tabs>
        <w:bidi/>
        <w:spacing w:before="240" w:after="0" w:line="240" w:lineRule="auto"/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 xml:space="preserve">الف) کتب: </w:t>
      </w:r>
    </w:p>
    <w:p>
      <w:pPr>
        <w:bidi/>
        <w:spacing w:after="0"/>
        <w:jc w:val="both"/>
        <w:rPr>
          <w:rFonts w:cs="B Titr" w:eastAsiaTheme="minorEastAsia"/>
          <w:b/>
          <w:bCs/>
          <w:sz w:val="24"/>
          <w:szCs w:val="24"/>
          <w:rtl/>
          <w:lang w:bidi="fa-IR"/>
        </w:rPr>
      </w:pPr>
      <w:r>
        <w:rPr>
          <w:rFonts w:hint="cs" w:cs="B Titr" w:eastAsiaTheme="minorEastAsia"/>
          <w:b/>
          <w:bCs/>
          <w:sz w:val="24"/>
          <w:szCs w:val="24"/>
          <w:rtl/>
          <w:lang w:bidi="fa-IR"/>
        </w:rPr>
        <w:t>منابع:</w:t>
      </w:r>
    </w:p>
    <w:p>
      <w:pPr>
        <w:bidi/>
        <w:spacing w:after="0"/>
        <w:jc w:val="both"/>
        <w:rPr>
          <w:rFonts w:cs="B Mitra" w:eastAsiaTheme="minorEastAsia"/>
          <w:b/>
          <w:bCs/>
          <w:sz w:val="24"/>
          <w:szCs w:val="24"/>
          <w:lang w:bidi="fa-IR"/>
        </w:rPr>
      </w:pPr>
    </w:p>
    <w:p>
      <w:pPr>
        <w:numPr>
          <w:ilvl w:val="0"/>
          <w:numId w:val="3"/>
        </w:numPr>
        <w:spacing w:after="0"/>
        <w:contextualSpacing/>
        <w:rPr>
          <w:rFonts w:ascii="Times New Roman" w:hAnsi="Times New Roman" w:cs="B Nazanin" w:eastAsiaTheme="minorEastAsia"/>
          <w:sz w:val="24"/>
          <w:szCs w:val="24"/>
        </w:rPr>
      </w:pPr>
      <w:r>
        <w:rPr>
          <w:rFonts w:ascii="Times New Roman" w:hAnsi="Times New Roman" w:cs="B Nazanin" w:eastAsiaTheme="minorEastAsia"/>
          <w:sz w:val="24"/>
          <w:szCs w:val="24"/>
        </w:rPr>
        <w:t>Daily E, Powers F, International Disaster Nursing, Cambridge University.</w:t>
      </w:r>
    </w:p>
    <w:p>
      <w:pPr>
        <w:numPr>
          <w:ilvl w:val="0"/>
          <w:numId w:val="3"/>
        </w:numPr>
        <w:spacing w:after="0"/>
        <w:contextualSpacing/>
        <w:rPr>
          <w:rFonts w:ascii="Times New Roman" w:hAnsi="Times New Roman" w:cs="B Nazanin" w:eastAsiaTheme="minorEastAsia"/>
          <w:sz w:val="24"/>
          <w:szCs w:val="24"/>
        </w:rPr>
      </w:pPr>
      <w:r>
        <w:rPr>
          <w:rFonts w:ascii="Times New Roman" w:hAnsi="Times New Roman" w:cs="B Nazanin" w:eastAsiaTheme="minorEastAsia"/>
          <w:sz w:val="24"/>
          <w:szCs w:val="24"/>
        </w:rPr>
        <w:t>Regional Office of World Health Organization &amp; Pan America Health Organization, Natural Disasters: Protecting the Public’s Health, Washington D.C: Pan American Health Organization</w:t>
      </w:r>
      <w:r>
        <w:rPr>
          <w:rFonts w:hint="cs" w:ascii="Times New Roman" w:hAnsi="Times New Roman" w:cs="B Nazanin" w:eastAsiaTheme="minorEastAsia"/>
          <w:sz w:val="24"/>
          <w:szCs w:val="24"/>
          <w:rtl/>
        </w:rPr>
        <w:t xml:space="preserve"> </w:t>
      </w:r>
      <w:r>
        <w:rPr>
          <w:rFonts w:ascii="Times New Roman" w:hAnsi="Times New Roman" w:cs="B Nazanin" w:eastAsiaTheme="minorEastAsia"/>
          <w:sz w:val="24"/>
          <w:szCs w:val="24"/>
        </w:rPr>
        <w:t>(PAHO)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B Nazanin" w:eastAsiaTheme="minorEastAsia"/>
          <w:sz w:val="24"/>
          <w:szCs w:val="24"/>
        </w:rPr>
        <w:t>Asian disaster preparedness center. Community based disaster risk management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</w:rPr>
      </w:pPr>
      <w:r>
        <w:rPr>
          <w:rFonts w:hint="cs" w:ascii="Times New Roman" w:hAnsi="Times New Roman" w:cs="B Mitra" w:eastAsiaTheme="minorEastAsia"/>
          <w:sz w:val="24"/>
          <w:szCs w:val="24"/>
          <w:rtl/>
        </w:rPr>
        <w:t xml:space="preserve">نوربالا، احمدعلی. استادتقی زاده، عباس. دلخوش، مرجان و همکاران. حمایت های روانی اجتماعی در بلایا. چاپ اول. تهران: انتشارات تیمور زاده؛ زمستان 1397. 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</w:rPr>
      </w:pPr>
      <w:r>
        <w:rPr>
          <w:rFonts w:hint="cs" w:ascii="Times New Roman" w:hAnsi="Times New Roman" w:cs="B Mitra" w:eastAsiaTheme="minorEastAsia"/>
          <w:sz w:val="24"/>
          <w:szCs w:val="24"/>
          <w:rtl/>
        </w:rPr>
        <w:t xml:space="preserve">اردلان، علی. خانکه، حمیدرضا. و همکاران. درسنامه سلامت در حوادث و بلایا. جلد اول. چاپ اول. تهران: انتشارات مهر راوش؛ 1395. 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</w:rPr>
      </w:pPr>
      <w:r>
        <w:rPr>
          <w:rFonts w:hint="cs" w:ascii="Times New Roman" w:hAnsi="Times New Roman" w:cs="B Mitra" w:eastAsiaTheme="minorEastAsia"/>
          <w:sz w:val="24"/>
          <w:szCs w:val="24"/>
          <w:rtl/>
        </w:rPr>
        <w:t>اردلان، علی. مرادیان، محمدجواد. صابری نیا، امین. برنامه ملی پاسخ نظام سلامت در بلایا و فوریت ها. تهران: آذربرین، 1394.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</w:rPr>
      </w:pP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ر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ی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مون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آرون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.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س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ی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ر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اند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ی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شه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در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جامعه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شناس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ی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،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آخر</w:t>
      </w:r>
      <w:r>
        <w:rPr>
          <w:rFonts w:hint="cs" w:ascii="Times New Roman" w:hAnsi="Times New Roman" w:cs="B Mitra" w:eastAsiaTheme="minorEastAsia"/>
          <w:sz w:val="24"/>
          <w:szCs w:val="24"/>
          <w:rtl/>
        </w:rPr>
        <w:t>ی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ن</w:t>
      </w:r>
      <w:r>
        <w:rPr>
          <w:rFonts w:ascii="Times New Roman" w:hAnsi="Times New Roman" w:cs="B Mitra" w:eastAsiaTheme="minorEastAsia"/>
          <w:sz w:val="24"/>
          <w:szCs w:val="24"/>
          <w:rtl/>
        </w:rPr>
        <w:t xml:space="preserve"> </w:t>
      </w:r>
      <w:r>
        <w:rPr>
          <w:rFonts w:hint="eastAsia" w:ascii="Times New Roman" w:hAnsi="Times New Roman" w:cs="B Mitra" w:eastAsiaTheme="minorEastAsia"/>
          <w:sz w:val="24"/>
          <w:szCs w:val="24"/>
          <w:rtl/>
        </w:rPr>
        <w:t>چاپ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</w:rPr>
      </w:pPr>
      <w:r>
        <w:rPr>
          <w:rFonts w:ascii="Times New Roman" w:hAnsi="Times New Roman" w:cs="B Mitra" w:eastAsiaTheme="minorEastAsia"/>
          <w:sz w:val="24"/>
          <w:szCs w:val="24"/>
        </w:rPr>
        <w:t xml:space="preserve">  </w:t>
      </w:r>
      <w:r>
        <w:rPr>
          <w:rFonts w:hint="cs" w:ascii="Times New Roman" w:hAnsi="Times New Roman" w:cs="B Mitra" w:eastAsiaTheme="minorEastAsia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یاسمی،م. امین اسماعیلی، م. آخرین انتشار</w:t>
      </w:r>
    </w:p>
    <w:p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hAnsi="Times New Roman" w:cs="B Mitra" w:eastAsiaTheme="minorEastAsia"/>
          <w:sz w:val="24"/>
          <w:szCs w:val="24"/>
          <w:rtl/>
        </w:rPr>
      </w:pPr>
      <w:r>
        <w:rPr>
          <w:rFonts w:ascii="Times New Roman" w:hAnsi="Times New Roman" w:cs="B Mitra" w:eastAsiaTheme="minorEastAsia"/>
          <w:sz w:val="24"/>
          <w:szCs w:val="24"/>
        </w:rPr>
        <w:t xml:space="preserve"> </w:t>
      </w:r>
      <w:r>
        <w:rPr>
          <w:rFonts w:hint="cs" w:ascii="Times New Roman" w:hAnsi="Times New Roman" w:cs="B Mitra" w:eastAsiaTheme="minorEastAsia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علیزادگان، ش. یاسمی، م. آخرین انتشار</w:t>
      </w:r>
      <w:r>
        <w:rPr>
          <w:rFonts w:ascii="Times New Roman" w:hAnsi="Times New Roman" w:cs="B Mitra" w:eastAsiaTheme="minorEastAsia"/>
          <w:sz w:val="24"/>
          <w:szCs w:val="24"/>
        </w:rPr>
        <w:t xml:space="preserve"> </w:t>
      </w:r>
    </w:p>
    <w:p>
      <w:pPr>
        <w:bidi/>
        <w:spacing w:after="0"/>
        <w:ind w:right="360"/>
        <w:jc w:val="both"/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ind w:right="360"/>
        <w:jc w:val="both"/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</w:pPr>
      <w:r>
        <w:rPr>
          <w:rFonts w:hint="eastAsia" w:cs="B Nazanin" w:asciiTheme="majorBidi" w:hAnsiTheme="majorBidi"/>
          <w:b/>
          <w:bCs/>
          <w:sz w:val="24"/>
          <w:szCs w:val="24"/>
          <w:rtl/>
          <w:lang w:bidi="fa-IR"/>
        </w:rPr>
        <w:t>ب</w:t>
      </w:r>
      <w:r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  <w:t xml:space="preserve">) </w:t>
      </w:r>
      <w:r>
        <w:rPr>
          <w:rFonts w:hint="eastAsia" w:cs="B Nazanin" w:asciiTheme="majorBidi" w:hAnsiTheme="majorBidi"/>
          <w:b/>
          <w:bCs/>
          <w:sz w:val="24"/>
          <w:szCs w:val="24"/>
          <w:rtl/>
          <w:lang w:bidi="fa-IR"/>
        </w:rPr>
        <w:t>مقالات</w:t>
      </w:r>
      <w:r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  <w:t>:</w:t>
      </w:r>
    </w:p>
    <w:p>
      <w:pPr>
        <w:numPr>
          <w:ilvl w:val="0"/>
          <w:numId w:val="4"/>
        </w:numPr>
        <w:bidi/>
        <w:ind w:right="360"/>
        <w:contextualSpacing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کلیه مقالات فارسی و انگلیسی چاپ شده در سایت ها و ژورنال های علمی معتبر </w:t>
      </w:r>
    </w:p>
    <w:p>
      <w:pPr>
        <w:bidi/>
        <w:ind w:left="360" w:right="360"/>
        <w:contextualSpacing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cs="B Nazanin" w:asciiTheme="majorBidi" w:hAnsiTheme="majorBidi"/>
          <w:sz w:val="24"/>
          <w:szCs w:val="24"/>
          <w:rtl/>
        </w:rPr>
        <w:t xml:space="preserve"> </w:t>
      </w:r>
    </w:p>
    <w:sectPr>
      <w:footerReference r:id="rId5" w:type="default"/>
      <w:footnotePr>
        <w:numRestart w:val="eachPage"/>
      </w:footnotePr>
      <w:pgSz w:w="12240" w:h="15840"/>
      <w:pgMar w:top="117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468355595"/>
      <w:docPartObj>
        <w:docPartGallery w:val="autotext"/>
      </w:docPartObj>
    </w:sdtPr>
    <w:sdtEndPr>
      <w:rPr>
        <w:rtl/>
      </w:rPr>
    </w:sdtEndPr>
    <w:sdtContent>
      <w:p>
        <w:pPr>
          <w:pStyle w:val="8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6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eastAsia="Times New Roman" w:cs="B Nazanin"/>
          <w:b/>
          <w:bCs/>
          <w:color w:val="000000"/>
          <w:sz w:val="20"/>
          <w:szCs w:val="20"/>
          <w:rtl/>
        </w:rPr>
      </w:pPr>
      <w:r>
        <w:rPr>
          <w:rStyle w:val="9"/>
        </w:rPr>
        <w:footnoteRef/>
      </w:r>
      <w:r>
        <w:t xml:space="preserve"> </w:t>
      </w:r>
      <w:r>
        <w:rPr>
          <w:rFonts w:hint="cs" w:ascii="Times New Roman" w:hAnsi="Times New Roman" w:eastAsia="Times New Roman" w:cs="B Nazanin"/>
          <w:color w:val="000000"/>
          <w:rtl/>
          <w:lang w:bidi="fa-IR"/>
        </w:rPr>
        <w:t>مشتمل بر: نظري، عملي و یا نظري- عملي به تفكيك تعداد واحدهاي مصوب. (مثال: 2 واحد نظری، 1 واحد عملی)</w:t>
      </w:r>
    </w:p>
    <w:p>
      <w:pPr>
        <w:pStyle w:val="10"/>
        <w:bidi/>
        <w:rPr>
          <w:rtl/>
          <w:lang w:bidi="fa-IR"/>
        </w:rPr>
      </w:pPr>
    </w:p>
  </w:footnote>
  <w:footnote w:id="1">
    <w:p>
      <w:pPr>
        <w:pStyle w:val="10"/>
        <w:rPr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Educational Approach</w:t>
      </w:r>
    </w:p>
  </w:footnote>
  <w:footnote w:id="2">
    <w:p>
      <w:pPr>
        <w:pStyle w:val="10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Virtual Approach</w:t>
      </w:r>
    </w:p>
  </w:footnote>
  <w:footnote w:id="3">
    <w:p>
      <w:pPr>
        <w:pStyle w:val="10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Blended Approach: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4">
    <w:p>
      <w:pPr>
        <w:pStyle w:val="10"/>
        <w:bidi/>
        <w:rPr>
          <w:rtl/>
          <w:lang w:bidi="fa-IR"/>
        </w:rPr>
      </w:pPr>
      <w:r>
        <w:rPr>
          <w:rFonts w:ascii="Times New Roman" w:hAnsi="Times New Roman" w:cs="B Nazanin"/>
          <w:sz w:val="14"/>
          <w:lang w:bidi="fa-IR"/>
        </w:rPr>
        <w:footnoteRef/>
      </w:r>
      <w:r>
        <w:rPr>
          <w:rFonts w:hint="cs" w:ascii="Times New Roman" w:hAnsi="Times New Roman" w:cs="B Nazanin"/>
          <w:sz w:val="14"/>
          <w:rtl/>
          <w:lang w:bidi="fa-IR"/>
        </w:rPr>
        <w:t>. این وظایف مصادیقی از وظایف عمومی هستند و  می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توانند در همه انواع دوره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های آموزشی اعم از حضوری و مجازی، لحاظ گردند.</w:t>
      </w:r>
      <w:r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51616"/>
    <w:multiLevelType w:val="multilevel"/>
    <w:tmpl w:val="0AE5161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2"/>
      <w:numFmt w:val="bullet"/>
      <w:lvlText w:val="-"/>
      <w:lvlJc w:val="left"/>
      <w:pPr>
        <w:ind w:left="1605" w:hanging="525"/>
      </w:pPr>
      <w:rPr>
        <w:rFonts w:hint="default" w:ascii="Calibri" w:hAnsi="Calibri" w:cs="B Mitra" w:eastAsiaTheme="minorEastAsi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D40B11"/>
    <w:multiLevelType w:val="multilevel"/>
    <w:tmpl w:val="0ED40B1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DA6B22"/>
    <w:multiLevelType w:val="multilevel"/>
    <w:tmpl w:val="24DA6B2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4385F"/>
    <w:multiLevelType w:val="multilevel"/>
    <w:tmpl w:val="29F438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10"/>
    <w:footnote w:id="1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3EE8"/>
    <w:rsid w:val="0006432E"/>
    <w:rsid w:val="000653B2"/>
    <w:rsid w:val="00065F6F"/>
    <w:rsid w:val="00076BB0"/>
    <w:rsid w:val="000921C5"/>
    <w:rsid w:val="00096A68"/>
    <w:rsid w:val="000B5704"/>
    <w:rsid w:val="000B7123"/>
    <w:rsid w:val="000C7326"/>
    <w:rsid w:val="000D123C"/>
    <w:rsid w:val="000D393B"/>
    <w:rsid w:val="000E51A7"/>
    <w:rsid w:val="000E701A"/>
    <w:rsid w:val="000F3FF3"/>
    <w:rsid w:val="00100BCF"/>
    <w:rsid w:val="0012159D"/>
    <w:rsid w:val="00130C50"/>
    <w:rsid w:val="0014169F"/>
    <w:rsid w:val="00145B73"/>
    <w:rsid w:val="00145E3E"/>
    <w:rsid w:val="00154C6F"/>
    <w:rsid w:val="00155EE9"/>
    <w:rsid w:val="001567FC"/>
    <w:rsid w:val="001713A3"/>
    <w:rsid w:val="00180C87"/>
    <w:rsid w:val="00181696"/>
    <w:rsid w:val="00186948"/>
    <w:rsid w:val="00187E54"/>
    <w:rsid w:val="00193733"/>
    <w:rsid w:val="00194C8D"/>
    <w:rsid w:val="001A3533"/>
    <w:rsid w:val="001B6A38"/>
    <w:rsid w:val="001B6CF6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0D8F"/>
    <w:rsid w:val="00282ABB"/>
    <w:rsid w:val="0029396B"/>
    <w:rsid w:val="002942FF"/>
    <w:rsid w:val="002B08B3"/>
    <w:rsid w:val="002B27AF"/>
    <w:rsid w:val="002D5FD3"/>
    <w:rsid w:val="002E06E6"/>
    <w:rsid w:val="002F7274"/>
    <w:rsid w:val="003208E8"/>
    <w:rsid w:val="003225EB"/>
    <w:rsid w:val="00336EBE"/>
    <w:rsid w:val="00337E9D"/>
    <w:rsid w:val="00357089"/>
    <w:rsid w:val="00364A0B"/>
    <w:rsid w:val="00366A61"/>
    <w:rsid w:val="00367786"/>
    <w:rsid w:val="0038172F"/>
    <w:rsid w:val="003909B8"/>
    <w:rsid w:val="003931E5"/>
    <w:rsid w:val="003C19F8"/>
    <w:rsid w:val="003C3250"/>
    <w:rsid w:val="003D5FAE"/>
    <w:rsid w:val="003F5911"/>
    <w:rsid w:val="004005EE"/>
    <w:rsid w:val="00401B3A"/>
    <w:rsid w:val="0041235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6933"/>
    <w:rsid w:val="004E70F4"/>
    <w:rsid w:val="004F0DD5"/>
    <w:rsid w:val="004F2009"/>
    <w:rsid w:val="004F72B5"/>
    <w:rsid w:val="00505865"/>
    <w:rsid w:val="0051745E"/>
    <w:rsid w:val="00527E9F"/>
    <w:rsid w:val="00551073"/>
    <w:rsid w:val="00562721"/>
    <w:rsid w:val="00592F5F"/>
    <w:rsid w:val="005957C4"/>
    <w:rsid w:val="005A67D4"/>
    <w:rsid w:val="005A73D4"/>
    <w:rsid w:val="005C5AFC"/>
    <w:rsid w:val="005E03FB"/>
    <w:rsid w:val="005E1787"/>
    <w:rsid w:val="005E730A"/>
    <w:rsid w:val="005F151B"/>
    <w:rsid w:val="005F23E2"/>
    <w:rsid w:val="0062048A"/>
    <w:rsid w:val="00627B9E"/>
    <w:rsid w:val="00632F6B"/>
    <w:rsid w:val="00634081"/>
    <w:rsid w:val="0065017B"/>
    <w:rsid w:val="006562BE"/>
    <w:rsid w:val="0067621F"/>
    <w:rsid w:val="00684E56"/>
    <w:rsid w:val="006C3301"/>
    <w:rsid w:val="006D4F70"/>
    <w:rsid w:val="006D54F2"/>
    <w:rsid w:val="006D7C23"/>
    <w:rsid w:val="006E0514"/>
    <w:rsid w:val="006E5B52"/>
    <w:rsid w:val="00712158"/>
    <w:rsid w:val="00716BE3"/>
    <w:rsid w:val="0073222F"/>
    <w:rsid w:val="00741AB7"/>
    <w:rsid w:val="00757159"/>
    <w:rsid w:val="00763530"/>
    <w:rsid w:val="007655B2"/>
    <w:rsid w:val="007A289E"/>
    <w:rsid w:val="007B1C56"/>
    <w:rsid w:val="007B3E77"/>
    <w:rsid w:val="007E0732"/>
    <w:rsid w:val="007E4803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23101"/>
    <w:rsid w:val="00924FDC"/>
    <w:rsid w:val="00926448"/>
    <w:rsid w:val="00933443"/>
    <w:rsid w:val="009340B5"/>
    <w:rsid w:val="009375F5"/>
    <w:rsid w:val="00941144"/>
    <w:rsid w:val="00946D4D"/>
    <w:rsid w:val="00971252"/>
    <w:rsid w:val="009A0090"/>
    <w:rsid w:val="009A5A96"/>
    <w:rsid w:val="009E629C"/>
    <w:rsid w:val="009F4CC0"/>
    <w:rsid w:val="00A06E26"/>
    <w:rsid w:val="00A11602"/>
    <w:rsid w:val="00A178F2"/>
    <w:rsid w:val="00A34D4F"/>
    <w:rsid w:val="00A51FD9"/>
    <w:rsid w:val="00A55173"/>
    <w:rsid w:val="00A61F6D"/>
    <w:rsid w:val="00A65BBB"/>
    <w:rsid w:val="00A667B5"/>
    <w:rsid w:val="00AA3DED"/>
    <w:rsid w:val="00AA41DE"/>
    <w:rsid w:val="00AB5CAE"/>
    <w:rsid w:val="00AB7DFB"/>
    <w:rsid w:val="00AC58A6"/>
    <w:rsid w:val="00AE1443"/>
    <w:rsid w:val="00AE6C53"/>
    <w:rsid w:val="00AF649A"/>
    <w:rsid w:val="00B02343"/>
    <w:rsid w:val="00B03A8F"/>
    <w:rsid w:val="00B03A95"/>
    <w:rsid w:val="00B14502"/>
    <w:rsid w:val="00B1773D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21D4"/>
    <w:rsid w:val="00C06AFF"/>
    <w:rsid w:val="00C12AB4"/>
    <w:rsid w:val="00C15621"/>
    <w:rsid w:val="00C270C0"/>
    <w:rsid w:val="00C5164A"/>
    <w:rsid w:val="00C61ABB"/>
    <w:rsid w:val="00C63B0C"/>
    <w:rsid w:val="00C71788"/>
    <w:rsid w:val="00C82781"/>
    <w:rsid w:val="00C85ABA"/>
    <w:rsid w:val="00C9146A"/>
    <w:rsid w:val="00C91E86"/>
    <w:rsid w:val="00CA5986"/>
    <w:rsid w:val="00CB11FC"/>
    <w:rsid w:val="00CC7981"/>
    <w:rsid w:val="00D237ED"/>
    <w:rsid w:val="00D258F5"/>
    <w:rsid w:val="00D272D4"/>
    <w:rsid w:val="00D3463F"/>
    <w:rsid w:val="00D47EB7"/>
    <w:rsid w:val="00D92DAC"/>
    <w:rsid w:val="00DB28EF"/>
    <w:rsid w:val="00DB39EB"/>
    <w:rsid w:val="00DB4835"/>
    <w:rsid w:val="00DC7F56"/>
    <w:rsid w:val="00DD7900"/>
    <w:rsid w:val="00E01EDE"/>
    <w:rsid w:val="00E270DE"/>
    <w:rsid w:val="00E358C8"/>
    <w:rsid w:val="00E61F9C"/>
    <w:rsid w:val="00E66E78"/>
    <w:rsid w:val="00E72DB7"/>
    <w:rsid w:val="00E91F7E"/>
    <w:rsid w:val="00E95490"/>
    <w:rsid w:val="00EB6DB3"/>
    <w:rsid w:val="00EC047C"/>
    <w:rsid w:val="00EC2D0A"/>
    <w:rsid w:val="00EF3428"/>
    <w:rsid w:val="00EF53E0"/>
    <w:rsid w:val="00F05B8C"/>
    <w:rsid w:val="00F11338"/>
    <w:rsid w:val="00F12E0F"/>
    <w:rsid w:val="00F23992"/>
    <w:rsid w:val="00F25ED3"/>
    <w:rsid w:val="00F378AD"/>
    <w:rsid w:val="00F51BF7"/>
    <w:rsid w:val="00F62CAD"/>
    <w:rsid w:val="00F64266"/>
    <w:rsid w:val="00F7033C"/>
    <w:rsid w:val="00F93A8F"/>
    <w:rsid w:val="00F95EA0"/>
    <w:rsid w:val="00FA17A2"/>
    <w:rsid w:val="00FB08F3"/>
    <w:rsid w:val="00FB1B92"/>
    <w:rsid w:val="00FC42B8"/>
    <w:rsid w:val="00FD1456"/>
    <w:rsid w:val="00FE5F7E"/>
    <w:rsid w:val="00FF2E1E"/>
    <w:rsid w:val="5A345F0B"/>
    <w:rsid w:val="7A8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5">
    <w:name w:val="Grid Table 4 - Accent 51"/>
    <w:basedOn w:val="3"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16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7">
    <w:name w:val="Comment Subject Char"/>
    <w:basedOn w:val="16"/>
    <w:link w:val="7"/>
    <w:semiHidden/>
    <w:uiPriority w:val="99"/>
    <w:rPr>
      <w:b/>
      <w:bCs/>
      <w:sz w:val="20"/>
      <w:szCs w:val="20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9">
    <w:name w:val="Footnote Text Char"/>
    <w:basedOn w:val="2"/>
    <w:link w:val="10"/>
    <w:semiHidden/>
    <w:uiPriority w:val="99"/>
    <w:rPr>
      <w:sz w:val="20"/>
      <w:szCs w:val="20"/>
    </w:rPr>
  </w:style>
  <w:style w:type="character" w:customStyle="1" w:styleId="20">
    <w:name w:val="Header Char"/>
    <w:basedOn w:val="2"/>
    <w:link w:val="11"/>
    <w:uiPriority w:val="99"/>
  </w:style>
  <w:style w:type="character" w:customStyle="1" w:styleId="21">
    <w:name w:val="Footer Char"/>
    <w:basedOn w:val="2"/>
    <w:link w:val="8"/>
    <w:uiPriority w:val="99"/>
  </w:style>
  <w:style w:type="table" w:customStyle="1" w:styleId="22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Grid2"/>
    <w:basedOn w:val="3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4">
    <w:name w:val="Table Grid3"/>
    <w:basedOn w:val="3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2AA9-2FEA-4CDD-9346-2AB24B3E75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1155</Words>
  <Characters>6588</Characters>
  <Lines>54</Lines>
  <Paragraphs>15</Paragraphs>
  <TotalTime>199</TotalTime>
  <ScaleCrop>false</ScaleCrop>
  <LinksUpToDate>false</LinksUpToDate>
  <CharactersWithSpaces>7728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2020-09-20T05:13:00Z</dcterms:created>
  <dc:creator>naghsh</dc:creator>
  <cp:lastModifiedBy>Dr.khoshkesht</cp:lastModifiedBy>
  <cp:lastPrinted>2023-11-14T10:52:00Z</cp:lastPrinted>
  <dcterms:modified xsi:type="dcterms:W3CDTF">2024-03-13T05:08:28Z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76C052C776294D93A50E125562C2DB25_12</vt:lpwstr>
  </property>
</Properties>
</file>